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DA6FF8" w:rsidRDefault="002D35E9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JMÜ</w:t>
            </w:r>
            <w:r w:rsidR="00BD6B44" w:rsidRPr="00BD6B44">
              <w:rPr>
                <w:rFonts w:ascii="Times New Roman" w:hAnsi="Times New Roman"/>
                <w:b/>
                <w:sz w:val="20"/>
              </w:rPr>
              <w:t>3</w:t>
            </w:r>
            <w:r w:rsidR="007A026E">
              <w:rPr>
                <w:rFonts w:ascii="Times New Roman" w:hAnsi="Times New Roman"/>
                <w:b/>
                <w:sz w:val="20"/>
              </w:rPr>
              <w:t>1</w:t>
            </w:r>
            <w:bookmarkStart w:id="0" w:name="_GoBack"/>
            <w:bookmarkEnd w:id="0"/>
            <w:r w:rsidR="00BD6B44" w:rsidRPr="00BD6B44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B94B41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B94B41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BD6B44" w:rsidP="00BD6B44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G</w:t>
            </w:r>
            <w:r>
              <w:rPr>
                <w:rFonts w:ascii="Times New Roman"/>
                <w:b/>
                <w:spacing w:val="-2"/>
                <w:sz w:val="20"/>
              </w:rPr>
              <w:t>Ü</w:t>
            </w:r>
            <w:r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E007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EVRE JEOLOJ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S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VE ATIK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NET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İ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Default="002E007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ENVIRONMENTAL GEOLOGY AND WASTE MANAGEMENT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2A5D7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</w:t>
            </w:r>
            <w:r w:rsidRPr="002A5D76">
              <w:rPr>
                <w:rFonts w:ascii="Times New Roman"/>
                <w:sz w:val="16"/>
              </w:rPr>
              <w:t>eoloji -</w:t>
            </w:r>
            <w:r w:rsidRPr="002A5D76">
              <w:rPr>
                <w:rFonts w:ascii="Times New Roman"/>
                <w:sz w:val="16"/>
              </w:rPr>
              <w:t>ç</w:t>
            </w:r>
            <w:r w:rsidRPr="002A5D76">
              <w:rPr>
                <w:rFonts w:ascii="Times New Roman"/>
                <w:sz w:val="16"/>
              </w:rPr>
              <w:t>evre ili</w:t>
            </w:r>
            <w:r w:rsidRPr="002A5D76">
              <w:rPr>
                <w:rFonts w:ascii="Times New Roman"/>
                <w:sz w:val="16"/>
              </w:rPr>
              <w:t>ş</w:t>
            </w:r>
            <w:r w:rsidRPr="002A5D76">
              <w:rPr>
                <w:rFonts w:ascii="Times New Roman"/>
                <w:sz w:val="16"/>
              </w:rPr>
              <w:t>kisi hakk</w:t>
            </w:r>
            <w:r w:rsidRPr="002A5D76">
              <w:rPr>
                <w:rFonts w:ascii="Times New Roman"/>
                <w:sz w:val="16"/>
              </w:rPr>
              <w:t>ı</w:t>
            </w:r>
            <w:r w:rsidRPr="002A5D76">
              <w:rPr>
                <w:rFonts w:ascii="Times New Roman"/>
                <w:sz w:val="16"/>
              </w:rPr>
              <w:t xml:space="preserve">nda bilgiler verilerek </w:t>
            </w:r>
            <w:r w:rsidRPr="002A5D76">
              <w:rPr>
                <w:rFonts w:ascii="Times New Roman"/>
                <w:sz w:val="16"/>
              </w:rPr>
              <w:t>ç</w:t>
            </w:r>
            <w:r w:rsidRPr="002A5D76">
              <w:rPr>
                <w:rFonts w:ascii="Times New Roman"/>
                <w:sz w:val="16"/>
              </w:rPr>
              <w:t>evre sorunlar</w:t>
            </w:r>
            <w:r w:rsidRPr="002A5D76">
              <w:rPr>
                <w:rFonts w:ascii="Times New Roman"/>
                <w:sz w:val="16"/>
              </w:rPr>
              <w:t>ı</w:t>
            </w:r>
            <w:r w:rsidRPr="002A5D76">
              <w:rPr>
                <w:rFonts w:ascii="Times New Roman"/>
                <w:sz w:val="16"/>
              </w:rPr>
              <w:t xml:space="preserve">na </w:t>
            </w:r>
            <w:r w:rsidRPr="002A5D76">
              <w:rPr>
                <w:rFonts w:ascii="Times New Roman"/>
                <w:sz w:val="16"/>
              </w:rPr>
              <w:t>çö</w:t>
            </w:r>
            <w:r w:rsidRPr="002A5D76">
              <w:rPr>
                <w:rFonts w:ascii="Times New Roman"/>
                <w:sz w:val="16"/>
              </w:rPr>
              <w:t>z</w:t>
            </w:r>
            <w:r w:rsidRPr="002A5D76">
              <w:rPr>
                <w:rFonts w:ascii="Times New Roman"/>
                <w:sz w:val="16"/>
              </w:rPr>
              <w:t>ü</w:t>
            </w:r>
            <w:r w:rsidRPr="002A5D76">
              <w:rPr>
                <w:rFonts w:ascii="Times New Roman"/>
                <w:sz w:val="16"/>
              </w:rPr>
              <w:t xml:space="preserve">m </w:t>
            </w:r>
            <w:r w:rsidRPr="002A5D76">
              <w:rPr>
                <w:rFonts w:ascii="Times New Roman"/>
                <w:sz w:val="16"/>
              </w:rPr>
              <w:t>ö</w:t>
            </w:r>
            <w:r w:rsidRPr="002A5D76">
              <w:rPr>
                <w:rFonts w:ascii="Times New Roman"/>
                <w:sz w:val="16"/>
              </w:rPr>
              <w:t>nerileri verilmesi</w:t>
            </w:r>
            <w:r>
              <w:rPr>
                <w:rFonts w:ascii="Times New Roman"/>
                <w:sz w:val="16"/>
              </w:rPr>
              <w:t xml:space="preserve"> ve at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k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netiminin yap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lma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ntemlerinin anla</w:t>
            </w:r>
            <w:r>
              <w:rPr>
                <w:rFonts w:ascii="Times New Roman"/>
                <w:sz w:val="16"/>
              </w:rPr>
              <w:t>şı</w:t>
            </w:r>
            <w:r w:rsidR="002D35E9">
              <w:rPr>
                <w:rFonts w:ascii="Times New Roman"/>
                <w:sz w:val="16"/>
              </w:rPr>
              <w:t>lmas</w:t>
            </w:r>
            <w:r w:rsidR="002D35E9">
              <w:rPr>
                <w:rFonts w:ascii="Times New Roman"/>
                <w:sz w:val="16"/>
              </w:rPr>
              <w:t>ı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51188A" w:rsidP="00754BB0">
            <w:pPr>
              <w:pStyle w:val="TableParagraph"/>
              <w:rPr>
                <w:rFonts w:ascii="Times New Roman"/>
                <w:sz w:val="16"/>
              </w:rPr>
            </w:pPr>
            <w:r w:rsidRPr="0051188A">
              <w:rPr>
                <w:rFonts w:ascii="Times New Roman"/>
                <w:sz w:val="16"/>
              </w:rPr>
              <w:t>Temel Kavramlar, Jeoloji, depremler ve volkanizman</w:t>
            </w:r>
            <w:r w:rsidRPr="0051188A">
              <w:rPr>
                <w:rFonts w:ascii="Times New Roman"/>
                <w:sz w:val="16"/>
              </w:rPr>
              <w:t>ı</w:t>
            </w:r>
            <w:r w:rsidRPr="0051188A">
              <w:rPr>
                <w:rFonts w:ascii="Times New Roman"/>
                <w:sz w:val="16"/>
              </w:rPr>
              <w:t xml:space="preserve">n </w:t>
            </w:r>
            <w:r w:rsidRPr="0051188A">
              <w:rPr>
                <w:rFonts w:ascii="Times New Roman"/>
                <w:sz w:val="16"/>
              </w:rPr>
              <w:t>ç</w:t>
            </w:r>
            <w:r w:rsidRPr="0051188A">
              <w:rPr>
                <w:rFonts w:ascii="Times New Roman"/>
                <w:sz w:val="16"/>
              </w:rPr>
              <w:t xml:space="preserve">evresel etkileri, heyelanlar, </w:t>
            </w:r>
            <w:r w:rsidR="00754BB0" w:rsidRPr="0051188A">
              <w:rPr>
                <w:rFonts w:ascii="Times New Roman"/>
                <w:sz w:val="16"/>
              </w:rPr>
              <w:t>kentle</w:t>
            </w:r>
            <w:r w:rsidR="00754BB0" w:rsidRPr="0051188A">
              <w:rPr>
                <w:rFonts w:ascii="Times New Roman"/>
                <w:sz w:val="16"/>
              </w:rPr>
              <w:t>ş</w:t>
            </w:r>
            <w:r w:rsidR="00754BB0" w:rsidRPr="0051188A">
              <w:rPr>
                <w:rFonts w:ascii="Times New Roman"/>
                <w:sz w:val="16"/>
              </w:rPr>
              <w:t xml:space="preserve">me ve </w:t>
            </w:r>
            <w:r w:rsidR="00754BB0" w:rsidRPr="0051188A">
              <w:rPr>
                <w:rFonts w:ascii="Times New Roman"/>
                <w:sz w:val="16"/>
              </w:rPr>
              <w:t>ç</w:t>
            </w:r>
            <w:r w:rsidR="00754BB0">
              <w:rPr>
                <w:rFonts w:ascii="Times New Roman"/>
                <w:sz w:val="16"/>
              </w:rPr>
              <w:t>evre, yeralt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 xml:space="preserve"> ve y</w:t>
            </w:r>
            <w:r w:rsidR="00754BB0">
              <w:rPr>
                <w:rFonts w:ascii="Times New Roman"/>
                <w:sz w:val="16"/>
              </w:rPr>
              <w:t>ü</w:t>
            </w:r>
            <w:r w:rsidR="00754BB0">
              <w:rPr>
                <w:rFonts w:ascii="Times New Roman"/>
                <w:sz w:val="16"/>
              </w:rPr>
              <w:t>zey suyu kirleticileri, maden i</w:t>
            </w:r>
            <w:r w:rsidR="00754BB0">
              <w:rPr>
                <w:rFonts w:ascii="Times New Roman"/>
                <w:sz w:val="16"/>
              </w:rPr>
              <w:t>ş</w:t>
            </w:r>
            <w:r w:rsidR="00754BB0">
              <w:rPr>
                <w:rFonts w:ascii="Times New Roman"/>
                <w:sz w:val="16"/>
              </w:rPr>
              <w:t>letmeleri ve enerji kaynaklar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>n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 xml:space="preserve">n </w:t>
            </w:r>
            <w:r w:rsidR="00754BB0">
              <w:rPr>
                <w:rFonts w:ascii="Times New Roman"/>
                <w:sz w:val="16"/>
              </w:rPr>
              <w:t>ç</w:t>
            </w:r>
            <w:r w:rsidR="00754BB0">
              <w:rPr>
                <w:rFonts w:ascii="Times New Roman"/>
                <w:sz w:val="16"/>
              </w:rPr>
              <w:t>evresel etkileri</w:t>
            </w:r>
            <w:r w:rsidRPr="0051188A">
              <w:rPr>
                <w:rFonts w:ascii="Times New Roman"/>
                <w:sz w:val="16"/>
              </w:rPr>
              <w:t xml:space="preserve">, </w:t>
            </w:r>
            <w:r w:rsidR="00754BB0">
              <w:rPr>
                <w:rFonts w:ascii="Times New Roman"/>
                <w:sz w:val="16"/>
              </w:rPr>
              <w:t>kat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>, s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>v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 xml:space="preserve"> at</w:t>
            </w:r>
            <w:r w:rsidR="00754BB0">
              <w:rPr>
                <w:rFonts w:ascii="Times New Roman"/>
                <w:sz w:val="16"/>
              </w:rPr>
              <w:t>ı</w:t>
            </w:r>
            <w:r w:rsidR="00754BB0">
              <w:rPr>
                <w:rFonts w:ascii="Times New Roman"/>
                <w:sz w:val="16"/>
              </w:rPr>
              <w:t xml:space="preserve">k </w:t>
            </w:r>
            <w:r w:rsidRPr="0051188A">
              <w:rPr>
                <w:rFonts w:ascii="Times New Roman"/>
                <w:sz w:val="16"/>
              </w:rPr>
              <w:t>deponi alanlar</w:t>
            </w:r>
            <w:r w:rsidRPr="0051188A">
              <w:rPr>
                <w:rFonts w:ascii="Times New Roman"/>
                <w:sz w:val="16"/>
              </w:rPr>
              <w:t>ı</w:t>
            </w:r>
            <w:r w:rsidRPr="0051188A">
              <w:rPr>
                <w:rFonts w:ascii="Times New Roman"/>
                <w:sz w:val="16"/>
              </w:rPr>
              <w:t xml:space="preserve"> yer</w:t>
            </w:r>
            <w:r w:rsidR="00754BB0">
              <w:rPr>
                <w:rFonts w:ascii="Times New Roman"/>
                <w:sz w:val="16"/>
              </w:rPr>
              <w:t xml:space="preserve"> </w:t>
            </w:r>
            <w:r w:rsidRPr="0051188A">
              <w:rPr>
                <w:rFonts w:ascii="Times New Roman"/>
                <w:sz w:val="16"/>
              </w:rPr>
              <w:t>se</w:t>
            </w:r>
            <w:r w:rsidRPr="0051188A">
              <w:rPr>
                <w:rFonts w:ascii="Times New Roman"/>
                <w:sz w:val="16"/>
              </w:rPr>
              <w:t>ç</w:t>
            </w:r>
            <w:r w:rsidRPr="0051188A">
              <w:rPr>
                <w:rFonts w:ascii="Times New Roman"/>
                <w:sz w:val="16"/>
              </w:rPr>
              <w:t>iminde jeoloji kriterleri, radyoaktif at</w:t>
            </w:r>
            <w:r w:rsidRPr="0051188A">
              <w:rPr>
                <w:rFonts w:ascii="Times New Roman"/>
                <w:sz w:val="16"/>
              </w:rPr>
              <w:t>ı</w:t>
            </w:r>
            <w:r w:rsidRPr="0051188A">
              <w:rPr>
                <w:rFonts w:ascii="Times New Roman"/>
                <w:sz w:val="16"/>
              </w:rPr>
              <w:t>klar ve depolanmalar</w:t>
            </w:r>
            <w:r w:rsidRPr="0051188A">
              <w:rPr>
                <w:rFonts w:ascii="Times New Roman"/>
                <w:sz w:val="16"/>
              </w:rPr>
              <w:t>ı</w:t>
            </w: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AC3F35" w:rsidRDefault="00AC3F35">
            <w:pPr>
              <w:pStyle w:val="TableParagraph"/>
              <w:rPr>
                <w:rFonts w:ascii="Times New Roman"/>
                <w:sz w:val="16"/>
              </w:rPr>
            </w:pPr>
            <w:r w:rsidRPr="00AC3F35">
              <w:rPr>
                <w:rFonts w:ascii="Times New Roman"/>
                <w:sz w:val="16"/>
              </w:rPr>
              <w:t xml:space="preserve">Environmental Geology (Edward Keller) </w:t>
            </w:r>
          </w:p>
          <w:p w:rsidR="007C7B1E" w:rsidRDefault="00AC3F35">
            <w:pPr>
              <w:pStyle w:val="TableParagraph"/>
              <w:rPr>
                <w:rFonts w:ascii="Times New Roman"/>
                <w:sz w:val="16"/>
              </w:rPr>
            </w:pPr>
            <w:r w:rsidRPr="00AC3F35">
              <w:rPr>
                <w:rFonts w:ascii="Times New Roman"/>
                <w:sz w:val="16"/>
              </w:rPr>
              <w:t>Environmental monitoring and characterization (J. Artiola, I. Pepper and M.L. Brusseau)</w:t>
            </w:r>
          </w:p>
          <w:p w:rsidR="008C6F59" w:rsidRDefault="008C6F59">
            <w:pPr>
              <w:pStyle w:val="TableParagraph"/>
              <w:rPr>
                <w:rFonts w:ascii="Times New Roman"/>
                <w:sz w:val="16"/>
              </w:rPr>
            </w:pPr>
            <w:r w:rsidRPr="008C6F59">
              <w:rPr>
                <w:rFonts w:ascii="Times New Roman"/>
                <w:sz w:val="16"/>
              </w:rPr>
              <w:t xml:space="preserve">Ders </w:t>
            </w:r>
            <w:r w:rsidRPr="008C6F59">
              <w:rPr>
                <w:rFonts w:ascii="Times New Roman"/>
                <w:sz w:val="16"/>
              </w:rPr>
              <w:t>ç</w:t>
            </w:r>
            <w:r w:rsidRPr="008C6F59">
              <w:rPr>
                <w:rFonts w:ascii="Times New Roman"/>
                <w:sz w:val="16"/>
              </w:rPr>
              <w:t>e</w:t>
            </w:r>
            <w:r w:rsidRPr="008C6F59">
              <w:rPr>
                <w:rFonts w:ascii="Times New Roman"/>
                <w:sz w:val="16"/>
              </w:rPr>
              <w:t>ş</w:t>
            </w:r>
            <w:r w:rsidRPr="008C6F59">
              <w:rPr>
                <w:rFonts w:ascii="Times New Roman"/>
                <w:sz w:val="16"/>
              </w:rPr>
              <w:t>itli ppt sunumlar</w:t>
            </w:r>
            <w:r w:rsidRPr="008C6F59">
              <w:rPr>
                <w:rFonts w:ascii="Times New Roman"/>
                <w:sz w:val="16"/>
              </w:rPr>
              <w:t>ı</w:t>
            </w:r>
            <w:r w:rsidRPr="008C6F59">
              <w:rPr>
                <w:rFonts w:ascii="Times New Roman"/>
                <w:sz w:val="16"/>
              </w:rPr>
              <w:t xml:space="preserve"> ile desteklenecektir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D586A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Selçuk</w:t>
            </w:r>
          </w:p>
          <w:p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D586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Jeoloji Müh. Böl.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Pr="009966D4" w:rsidRDefault="002D586A">
            <w:pPr>
              <w:pStyle w:val="TableParagraph"/>
              <w:spacing w:before="85"/>
              <w:ind w:left="77"/>
              <w:rPr>
                <w:sz w:val="20"/>
              </w:rPr>
            </w:pPr>
            <w:r w:rsidRPr="009966D4">
              <w:rPr>
                <w:sz w:val="20"/>
              </w:rPr>
              <w:t>Çevre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D586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F1917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D586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F1917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Çevre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A5D76" w:rsidP="002A512B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</w:t>
            </w:r>
            <w:r w:rsidR="00202D2F">
              <w:rPr>
                <w:b/>
                <w:spacing w:val="-5"/>
                <w:sz w:val="16"/>
              </w:rPr>
              <w:t>;</w:t>
            </w:r>
            <w:r w:rsidR="002A512B">
              <w:rPr>
                <w:b/>
                <w:spacing w:val="-5"/>
                <w:sz w:val="16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FC5C4C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FC5C4C" w:rsidRPr="00FC5C4C" w:rsidRDefault="00FC5C4C" w:rsidP="00FC5C4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FC5C4C">
              <w:rPr>
                <w:b/>
                <w:sz w:val="16"/>
              </w:rPr>
              <w:t>Mersin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  </w:t>
            </w:r>
            <w:r w:rsidRPr="00FC5C4C">
              <w:rPr>
                <w:rFonts w:ascii="Times New Roman"/>
                <w:b/>
                <w:sz w:val="16"/>
              </w:rPr>
              <w:t>Jeoloji M</w:t>
            </w:r>
            <w:r w:rsidRPr="00FC5C4C">
              <w:rPr>
                <w:rFonts w:ascii="Times New Roman"/>
                <w:b/>
                <w:sz w:val="16"/>
              </w:rPr>
              <w:t>ü</w:t>
            </w:r>
            <w:r w:rsidRPr="00FC5C4C">
              <w:rPr>
                <w:rFonts w:ascii="Times New Roman"/>
                <w:b/>
                <w:sz w:val="16"/>
              </w:rPr>
              <w:t>h. B</w:t>
            </w:r>
            <w:r w:rsidRPr="00FC5C4C">
              <w:rPr>
                <w:rFonts w:ascii="Times New Roman"/>
                <w:b/>
                <w:sz w:val="16"/>
              </w:rPr>
              <w:t>ö</w:t>
            </w:r>
            <w:r w:rsidRPr="00FC5C4C">
              <w:rPr>
                <w:rFonts w:ascii="Times New Roman"/>
                <w:b/>
                <w:sz w:val="16"/>
              </w:rPr>
              <w:t>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FC5C4C" w:rsidRPr="00FC5C4C" w:rsidRDefault="00FC5C4C" w:rsidP="00FC5C4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FC5C4C">
              <w:rPr>
                <w:b/>
                <w:sz w:val="16"/>
              </w:rPr>
              <w:t>Çevre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FC5C4C" w:rsidRDefault="00FC5C4C" w:rsidP="00FC5C4C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FC5C4C" w:rsidRDefault="00FC5C4C" w:rsidP="00FC5C4C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FC5C4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C5C4C" w:rsidRDefault="00FC5C4C" w:rsidP="00FC5C4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C5C4C" w:rsidRDefault="00FC5C4C" w:rsidP="00FC5C4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FC5C4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5C4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C5C4C" w:rsidRDefault="00FC5C4C" w:rsidP="00FC5C4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FC5C4C" w:rsidRDefault="00FC5C4C" w:rsidP="00FC5C4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FC5C4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5C4C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C5C4C" w:rsidRDefault="00FC5C4C" w:rsidP="00FC5C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B44921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Default="00B44921" w:rsidP="00B44921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Çevre jeolojisinin tanımı ve temel kavramları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Default="00B44921" w:rsidP="00B44921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Çevre jeolojisisnin temel kavramları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Yeraltı ve yüzey suyu kirleticileri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C06B58">
        <w:trPr>
          <w:trHeight w:val="45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</w:p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Yeraltı ve yüzey suyu kirleticileri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Su kalite standartları, içme ve kullanma suyu arıtma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FC645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E13A9D" w:rsidRDefault="00B44921" w:rsidP="00B44921">
            <w:r>
              <w:t>Su kaynaklarının kontrolü ve işletilmesi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4921" w:rsidTr="00FC6456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44921" w:rsidRPr="00C06B58" w:rsidRDefault="00B44921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921" w:rsidRPr="000D3BD3" w:rsidRDefault="00B44921" w:rsidP="00B44921">
            <w:r>
              <w:t>Maden işletmelerinin çevresel etkileri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B44921" w:rsidRDefault="00B44921" w:rsidP="00B449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:rsidTr="00C06B58">
        <w:trPr>
          <w:trHeight w:val="35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C7B1E" w:rsidRPr="00C06B58" w:rsidRDefault="007C7B1E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</w:p>
          <w:p w:rsidR="007C7B1E" w:rsidRPr="00C06B58" w:rsidRDefault="00202D2F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Pr="00C06B58" w:rsidRDefault="00087D4F" w:rsidP="00C06B58">
            <w:r w:rsidRPr="000D3BD3">
              <w:t>Madencilik faaliyetlerinden kaynaklanan çevresel etkileri azaltma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B58" w:rsidTr="00C06B58">
        <w:trPr>
          <w:trHeight w:val="36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06B58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06B58" w:rsidRPr="000D3BD3" w:rsidRDefault="00C06B58" w:rsidP="00C06B58">
            <w: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06B58" w:rsidRDefault="00C06B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 w:rsidRPr="00087D4F">
              <w:t>Enerji kaynaklarının çevresel etkileri ve etkileri azaltma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>
              <w:t>Enerji kaynaklarının çevresel etkileri ve etkileri azaltma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>
              <w:t>Sediment kirliliği ve önleme yöntemleri, zemin kirliliğine neden olan faktörler ve alınan tedbirler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41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>
              <w:t>Katı ve sıvı atık idaresinde kullanılan yöntemler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>
              <w:t>Katı ve sıvı atık idaresinde kullanılan yöntemler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D4F" w:rsidTr="00C06B5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87D4F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D4F" w:rsidRPr="00E13A9D" w:rsidRDefault="00087D4F" w:rsidP="00C06B58">
            <w:r>
              <w:t>Tehlikeli atık yönetiminde kullanılan yöntemler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87D4F" w:rsidRDefault="00087D4F" w:rsidP="00087D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:rsidTr="00C06B5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C7B1E" w:rsidRPr="00C06B58" w:rsidRDefault="00C06B58" w:rsidP="00C06B58">
            <w:pPr>
              <w:pStyle w:val="TableParagraph"/>
              <w:ind w:left="22"/>
              <w:jc w:val="center"/>
              <w:rPr>
                <w:rFonts w:ascii="Cambria"/>
                <w:b/>
                <w:spacing w:val="-10"/>
                <w:sz w:val="18"/>
              </w:rPr>
            </w:pPr>
            <w:r w:rsidRPr="00C06B58">
              <w:rPr>
                <w:rFonts w:ascii="Cambria"/>
                <w:b/>
                <w:spacing w:val="-10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Pr="00C06B58" w:rsidRDefault="00202D2F" w:rsidP="00C06B58">
            <w:r w:rsidRPr="00C06B58"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 w:rsidP="00C06B58">
            <w:pPr>
              <w:pStyle w:val="TableParagraph"/>
              <w:spacing w:before="93"/>
              <w:rPr>
                <w:rFonts w:ascii="Cambria"/>
                <w:b/>
                <w:sz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202D2F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0468F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Pr="000468F1" w:rsidRDefault="00A62DC3">
            <w:pPr>
              <w:pStyle w:val="TableParagraph"/>
              <w:spacing w:before="39"/>
              <w:ind w:left="20"/>
              <w:jc w:val="center"/>
              <w:rPr>
                <w:sz w:val="20"/>
                <w:szCs w:val="20"/>
              </w:rPr>
            </w:pPr>
            <w:r w:rsidRPr="000468F1">
              <w:rPr>
                <w:spacing w:val="-5"/>
                <w:sz w:val="20"/>
                <w:szCs w:val="20"/>
              </w:rPr>
              <w:t>30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Pr="000468F1" w:rsidRDefault="007C7B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A62DC3" w:rsidP="00A62D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8F1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FFFCF2"/>
          </w:tcPr>
          <w:p w:rsidR="007C7B1E" w:rsidRPr="000468F1" w:rsidRDefault="00A62DC3" w:rsidP="00A62D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8F1">
              <w:rPr>
                <w:sz w:val="20"/>
                <w:szCs w:val="20"/>
              </w:rPr>
              <w:t>20 (%1o Vize, %10 Final)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Pr="000468F1" w:rsidRDefault="00202D2F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0468F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Pr="000468F1" w:rsidRDefault="00A62DC3">
            <w:pPr>
              <w:pStyle w:val="TableParagraph"/>
              <w:spacing w:before="39"/>
              <w:ind w:left="20"/>
              <w:jc w:val="center"/>
              <w:rPr>
                <w:sz w:val="20"/>
                <w:szCs w:val="20"/>
              </w:rPr>
            </w:pPr>
            <w:r w:rsidRPr="000468F1">
              <w:rPr>
                <w:spacing w:val="-5"/>
                <w:sz w:val="20"/>
                <w:szCs w:val="20"/>
              </w:rPr>
              <w:t>50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51188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lastRenderedPageBreak/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51188A" w:rsidP="006D33D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40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4616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46169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6169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6169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461699" w:rsidRDefault="00461699" w:rsidP="00461699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C21611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46169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C21611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6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C21611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98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C7B1E" w:rsidRDefault="00C21611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65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C06B58" w:rsidTr="000261AE">
        <w:trPr>
          <w:trHeight w:val="628"/>
        </w:trPr>
        <w:tc>
          <w:tcPr>
            <w:tcW w:w="4917" w:type="dxa"/>
            <w:gridSpan w:val="2"/>
            <w:shd w:val="clear" w:color="auto" w:fill="F2F2F2"/>
          </w:tcPr>
          <w:p w:rsidR="00C06B58" w:rsidRDefault="00C06B58" w:rsidP="000261AE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C06B58" w:rsidRDefault="00C06B58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558E5963" wp14:editId="510819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8D9DB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58" w:type="dxa"/>
            <w:shd w:val="clear" w:color="auto" w:fill="F2F2F2"/>
          </w:tcPr>
          <w:p w:rsidR="00C06B58" w:rsidRDefault="00C06B5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C06B58" w:rsidTr="00C06B58">
        <w:trPr>
          <w:trHeight w:val="285"/>
        </w:trPr>
        <w:tc>
          <w:tcPr>
            <w:tcW w:w="266" w:type="dxa"/>
            <w:shd w:val="clear" w:color="auto" w:fill="F2F2F2"/>
          </w:tcPr>
          <w:p w:rsidR="00C06B58" w:rsidRDefault="00C06B5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651" w:type="dxa"/>
          </w:tcPr>
          <w:p w:rsidR="00C06B58" w:rsidRDefault="00C06B58">
            <w:pPr>
              <w:pStyle w:val="TableParagraph"/>
              <w:ind w:left="70"/>
              <w:rPr>
                <w:sz w:val="18"/>
              </w:rPr>
            </w:pPr>
            <w:r w:rsidRPr="008C6F59">
              <w:rPr>
                <w:sz w:val="18"/>
              </w:rPr>
              <w:t>Jeoloj</w:t>
            </w:r>
            <w:r>
              <w:rPr>
                <w:sz w:val="18"/>
              </w:rPr>
              <w:t>inin temel özelliklerini anlayarak  b</w:t>
            </w:r>
            <w:r w:rsidRPr="008C6F59">
              <w:rPr>
                <w:sz w:val="18"/>
              </w:rPr>
              <w:t>u özelli</w:t>
            </w:r>
            <w:r>
              <w:rPr>
                <w:sz w:val="18"/>
              </w:rPr>
              <w:t>kleri çevresel açıdan (çevre problemlerinin çözümünde) yorumlar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06B58" w:rsidTr="00C06B58">
        <w:trPr>
          <w:trHeight w:val="285"/>
        </w:trPr>
        <w:tc>
          <w:tcPr>
            <w:tcW w:w="266" w:type="dxa"/>
            <w:shd w:val="clear" w:color="auto" w:fill="F2F2F2"/>
          </w:tcPr>
          <w:p w:rsidR="00C06B58" w:rsidRDefault="00C06B5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651" w:type="dxa"/>
          </w:tcPr>
          <w:p w:rsidR="00C06B58" w:rsidRDefault="00C06B58">
            <w:pPr>
              <w:pStyle w:val="TableParagraph"/>
              <w:ind w:left="70"/>
              <w:rPr>
                <w:sz w:val="18"/>
              </w:rPr>
            </w:pPr>
            <w:r w:rsidRPr="008C6F59">
              <w:rPr>
                <w:sz w:val="18"/>
              </w:rPr>
              <w:t>Jeolojik olarak çev</w:t>
            </w:r>
            <w:r>
              <w:rPr>
                <w:sz w:val="18"/>
              </w:rPr>
              <w:t>resel risk alanlarını, bu alanlara bağlı oluşabilecek çevresel riskleri belirleyip çözüm önerileri sunabilir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06B58" w:rsidTr="00C06B58">
        <w:trPr>
          <w:trHeight w:val="285"/>
        </w:trPr>
        <w:tc>
          <w:tcPr>
            <w:tcW w:w="266" w:type="dxa"/>
            <w:shd w:val="clear" w:color="auto" w:fill="F2F2F2"/>
          </w:tcPr>
          <w:p w:rsidR="00C06B58" w:rsidRDefault="00C06B5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651" w:type="dxa"/>
          </w:tcPr>
          <w:p w:rsidR="00C06B58" w:rsidRDefault="00C06B5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Katı, sıvı ve tehlikeli atık yönetimi hakkında bilgi sahibi olacaklardır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58" w:type="dxa"/>
            <w:shd w:val="clear" w:color="auto" w:fill="FFFBF3"/>
          </w:tcPr>
          <w:p w:rsidR="00C06B58" w:rsidRDefault="00C06B5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103BA0">
        <w:rPr>
          <w:rFonts w:ascii="Times New Roman" w:hAnsi="Times New Roman"/>
        </w:rPr>
        <w:t>Özlem ÖZTEKİN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103BA0">
        <w:rPr>
          <w:rFonts w:ascii="Times New Roman" w:hAnsi="Times New Roman"/>
          <w:spacing w:val="-2"/>
        </w:rPr>
        <w:t>14.03.2025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1E"/>
    <w:rsid w:val="000261AE"/>
    <w:rsid w:val="000330F2"/>
    <w:rsid w:val="000468F1"/>
    <w:rsid w:val="00057AAC"/>
    <w:rsid w:val="00087D4F"/>
    <w:rsid w:val="00103BA0"/>
    <w:rsid w:val="00202D2F"/>
    <w:rsid w:val="002A512B"/>
    <w:rsid w:val="002A5D76"/>
    <w:rsid w:val="002D35E9"/>
    <w:rsid w:val="002D586A"/>
    <w:rsid w:val="002E0072"/>
    <w:rsid w:val="002F1917"/>
    <w:rsid w:val="00360305"/>
    <w:rsid w:val="00461699"/>
    <w:rsid w:val="00470C39"/>
    <w:rsid w:val="004F7AEE"/>
    <w:rsid w:val="0051188A"/>
    <w:rsid w:val="00642B06"/>
    <w:rsid w:val="006D33DC"/>
    <w:rsid w:val="00754BB0"/>
    <w:rsid w:val="007A026E"/>
    <w:rsid w:val="007C7B1E"/>
    <w:rsid w:val="00877228"/>
    <w:rsid w:val="008C6F59"/>
    <w:rsid w:val="00940F08"/>
    <w:rsid w:val="009966D4"/>
    <w:rsid w:val="00A4614A"/>
    <w:rsid w:val="00A56F53"/>
    <w:rsid w:val="00A62DC3"/>
    <w:rsid w:val="00AC3F35"/>
    <w:rsid w:val="00B44921"/>
    <w:rsid w:val="00B50ADC"/>
    <w:rsid w:val="00B94B41"/>
    <w:rsid w:val="00BD6B44"/>
    <w:rsid w:val="00C06B58"/>
    <w:rsid w:val="00C21611"/>
    <w:rsid w:val="00C470C4"/>
    <w:rsid w:val="00C750A4"/>
    <w:rsid w:val="00CA65DE"/>
    <w:rsid w:val="00DA6FF8"/>
    <w:rsid w:val="00E95A71"/>
    <w:rsid w:val="00F43E9F"/>
    <w:rsid w:val="00F463A4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54CDC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46</cp:revision>
  <dcterms:created xsi:type="dcterms:W3CDTF">2025-03-08T11:13:00Z</dcterms:created>
  <dcterms:modified xsi:type="dcterms:W3CDTF">2025-04-25T08:18:00Z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